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CB" w:rsidRDefault="00700BCB" w:rsidP="00700BCB">
      <w:pPr>
        <w:ind w:left="-15" w:right="75"/>
        <w:jc w:val="center"/>
        <w:rPr>
          <w:b/>
          <w:i/>
          <w:color w:val="000000" w:themeColor="text1"/>
          <w:sz w:val="28"/>
          <w:szCs w:val="28"/>
        </w:rPr>
      </w:pPr>
      <w:r w:rsidRPr="00700BCB">
        <w:rPr>
          <w:b/>
          <w:i/>
          <w:color w:val="000000" w:themeColor="text1"/>
          <w:sz w:val="28"/>
          <w:szCs w:val="28"/>
        </w:rPr>
        <w:t>АННОТАЦИЯ</w:t>
      </w:r>
    </w:p>
    <w:p w:rsidR="00700BCB" w:rsidRPr="00700BCB" w:rsidRDefault="00700BCB" w:rsidP="00700BCB">
      <w:pPr>
        <w:ind w:left="-15" w:right="75"/>
        <w:jc w:val="center"/>
        <w:rPr>
          <w:b/>
          <w:i/>
          <w:color w:val="000000" w:themeColor="text1"/>
          <w:sz w:val="28"/>
          <w:szCs w:val="28"/>
        </w:rPr>
      </w:pPr>
    </w:p>
    <w:p w:rsidR="00700BCB" w:rsidRPr="00700BCB" w:rsidRDefault="00700BCB" w:rsidP="00700BCB">
      <w:pPr>
        <w:ind w:left="-15" w:right="75"/>
        <w:rPr>
          <w:color w:val="000000" w:themeColor="text1"/>
          <w:sz w:val="28"/>
          <w:szCs w:val="28"/>
        </w:rPr>
      </w:pPr>
      <w:r w:rsidRPr="00700BCB">
        <w:rPr>
          <w:color w:val="000000" w:themeColor="text1"/>
          <w:sz w:val="28"/>
          <w:szCs w:val="28"/>
        </w:rPr>
        <w:t>Методический комплекс «</w:t>
      </w:r>
      <w:proofErr w:type="spellStart"/>
      <w:r w:rsidRPr="00700BCB">
        <w:rPr>
          <w:color w:val="000000" w:themeColor="text1"/>
          <w:sz w:val="28"/>
          <w:szCs w:val="28"/>
        </w:rPr>
        <w:t>УМКаБАНК</w:t>
      </w:r>
      <w:proofErr w:type="spellEnd"/>
      <w:r w:rsidRPr="00700BCB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Pr="00700BCB">
        <w:rPr>
          <w:color w:val="000000" w:themeColor="text1"/>
          <w:sz w:val="28"/>
          <w:szCs w:val="28"/>
        </w:rPr>
        <w:t>адресован педагогическим работникам дошкольных образовательных учреждений и родителям, может быть интересен в качестве базы методических материалов по формированию у детей старшего дошкольного возраста знаний и навыков в области финансовой грамотности.</w:t>
      </w:r>
      <w:r w:rsidRPr="00700BCB">
        <w:rPr>
          <w:color w:val="000000" w:themeColor="text1"/>
        </w:rPr>
        <w:t xml:space="preserve"> </w:t>
      </w:r>
      <w:r w:rsidRPr="00700BCB">
        <w:rPr>
          <w:color w:val="000000" w:themeColor="text1"/>
          <w:sz w:val="28"/>
          <w:szCs w:val="28"/>
        </w:rPr>
        <w:t>В рамках данной методической инновации решаются задачи по обогащению и амплификации знаний, навыков и установок в сфере финансового поведения человека, ведущих к улучшению благосостояния и повышению качества жизни. Методический комплекс «</w:t>
      </w:r>
      <w:proofErr w:type="spellStart"/>
      <w:r w:rsidRPr="00700BCB">
        <w:rPr>
          <w:color w:val="000000" w:themeColor="text1"/>
          <w:sz w:val="28"/>
          <w:szCs w:val="28"/>
        </w:rPr>
        <w:t>УМКаБАНК</w:t>
      </w:r>
      <w:proofErr w:type="spellEnd"/>
      <w:r w:rsidRPr="00700BCB">
        <w:rPr>
          <w:color w:val="000000" w:themeColor="text1"/>
          <w:sz w:val="28"/>
          <w:szCs w:val="28"/>
        </w:rPr>
        <w:t xml:space="preserve">» предназначен для детей старшего дошкольного возраста (5 – 7 лет) и подразумевает совместное использование со взрослым (педагогом или родителем). Цель данного инновационного методического пособия – формирование у детей дошкольного возраста знаний и навыков в области финансовой грамотности в интересной игровой интерактивной форме, а также приобщение педагогических работников к личному участию в реализации мероприятий «дорожной карты» Стратегии повышения финансовой грамотности </w:t>
      </w:r>
      <w:bookmarkStart w:id="0" w:name="_GoBack"/>
      <w:bookmarkEnd w:id="0"/>
      <w:r w:rsidRPr="00700BCB">
        <w:rPr>
          <w:color w:val="000000" w:themeColor="text1"/>
          <w:sz w:val="28"/>
          <w:szCs w:val="28"/>
        </w:rPr>
        <w:t>и формирования финансовой культуры до 2030 года. Главным преимуществом Методического комплекса «</w:t>
      </w:r>
      <w:proofErr w:type="spellStart"/>
      <w:r w:rsidRPr="00700BCB">
        <w:rPr>
          <w:color w:val="000000" w:themeColor="text1"/>
          <w:sz w:val="28"/>
          <w:szCs w:val="28"/>
        </w:rPr>
        <w:t>УМКаБАНК</w:t>
      </w:r>
      <w:proofErr w:type="spellEnd"/>
      <w:r w:rsidRPr="00700BCB">
        <w:rPr>
          <w:color w:val="000000" w:themeColor="text1"/>
          <w:sz w:val="28"/>
          <w:szCs w:val="28"/>
        </w:rPr>
        <w:t>» является системно-</w:t>
      </w:r>
      <w:proofErr w:type="spellStart"/>
      <w:r w:rsidRPr="00700BCB">
        <w:rPr>
          <w:color w:val="000000" w:themeColor="text1"/>
          <w:sz w:val="28"/>
          <w:szCs w:val="28"/>
        </w:rPr>
        <w:t>деятельностный</w:t>
      </w:r>
      <w:proofErr w:type="spellEnd"/>
      <w:r w:rsidRPr="00700BCB">
        <w:rPr>
          <w:color w:val="000000" w:themeColor="text1"/>
          <w:sz w:val="28"/>
          <w:szCs w:val="28"/>
        </w:rPr>
        <w:t xml:space="preserve"> подход к формированию и закреплению у детей знаний и навыков в области финансовой грамотности в интересной наглядной и интерактивной форме. Все компоненты продукта взаимосвязаны, определены цели задачи, содержание деятельности, способы взаимодействия с детьми. Особое внимание уделяется внедрению педагогами цифровых инструментов в работе по формированию у детей старшего дошкольного возраста знаний и навыков в области финансовой грамотности, что способствует повышению индивидуализации образовательного процесса в вопросах развития финансового образования в Российской Федерации.  Именно такой современный подход будет полезен в работе с воспитанниками ДОУ и даст наибольший вклад в</w:t>
      </w:r>
      <w:r w:rsidRPr="00700BCB">
        <w:rPr>
          <w:color w:val="000000" w:themeColor="text1"/>
        </w:rPr>
        <w:t xml:space="preserve"> </w:t>
      </w:r>
      <w:r w:rsidRPr="00700BCB">
        <w:rPr>
          <w:color w:val="000000" w:themeColor="text1"/>
          <w:sz w:val="28"/>
          <w:szCs w:val="28"/>
        </w:rPr>
        <w:t>повышение уровня финансовой грамотности населения.</w:t>
      </w:r>
    </w:p>
    <w:p w:rsidR="00700BCB" w:rsidRPr="00700BCB" w:rsidRDefault="00700BCB" w:rsidP="00700BCB">
      <w:pPr>
        <w:ind w:left="-15" w:right="75"/>
        <w:rPr>
          <w:color w:val="000000" w:themeColor="text1"/>
          <w:sz w:val="28"/>
          <w:szCs w:val="28"/>
        </w:rPr>
      </w:pPr>
      <w:r w:rsidRPr="00700BCB">
        <w:rPr>
          <w:color w:val="000000" w:themeColor="text1"/>
          <w:sz w:val="28"/>
          <w:szCs w:val="28"/>
        </w:rPr>
        <w:t xml:space="preserve"> Структура МК выглядит следующим образом:</w:t>
      </w:r>
    </w:p>
    <w:p w:rsidR="00700BCB" w:rsidRPr="00700BCB" w:rsidRDefault="00700BCB" w:rsidP="00700BCB">
      <w:pPr>
        <w:ind w:left="-15" w:right="75"/>
        <w:rPr>
          <w:color w:val="000000" w:themeColor="text1"/>
          <w:sz w:val="28"/>
          <w:szCs w:val="28"/>
        </w:rPr>
      </w:pPr>
    </w:p>
    <w:p w:rsidR="00700BCB" w:rsidRPr="00700BCB" w:rsidRDefault="00700BCB" w:rsidP="00700BCB">
      <w:pPr>
        <w:ind w:left="-15" w:right="75"/>
        <w:rPr>
          <w:color w:val="000000" w:themeColor="text1"/>
          <w:sz w:val="28"/>
          <w:szCs w:val="28"/>
        </w:rPr>
      </w:pPr>
      <w:r w:rsidRPr="00700BCB">
        <w:rPr>
          <w:color w:val="000000" w:themeColor="text1"/>
          <w:sz w:val="28"/>
          <w:szCs w:val="28"/>
        </w:rPr>
        <w:t>В «</w:t>
      </w:r>
      <w:proofErr w:type="spellStart"/>
      <w:r w:rsidRPr="00700BCB">
        <w:rPr>
          <w:color w:val="000000" w:themeColor="text1"/>
          <w:sz w:val="28"/>
          <w:szCs w:val="28"/>
        </w:rPr>
        <w:t>УМКаБАНКе</w:t>
      </w:r>
      <w:proofErr w:type="spellEnd"/>
      <w:r w:rsidRPr="00700BCB">
        <w:rPr>
          <w:color w:val="000000" w:themeColor="text1"/>
          <w:sz w:val="28"/>
          <w:szCs w:val="28"/>
        </w:rPr>
        <w:t>» находятся 4 банковские ячейки по 4 блокам Примерной парциальной образовательной программы дошкольного образования «Экономическое воспитание дошкольников: формирование предпосылок финансовой грамотности», которая ориентирована на принцип тесной взаимосвязи нравственно-трудового и экономического воспитания.</w:t>
      </w:r>
    </w:p>
    <w:p w:rsidR="00700BCB" w:rsidRPr="00700BCB" w:rsidRDefault="00700BCB" w:rsidP="00700BCB">
      <w:pPr>
        <w:ind w:left="-15" w:right="75" w:firstLine="15"/>
        <w:rPr>
          <w:color w:val="000000" w:themeColor="text1"/>
          <w:sz w:val="28"/>
          <w:szCs w:val="28"/>
        </w:rPr>
      </w:pPr>
      <w:r w:rsidRPr="00700BCB">
        <w:rPr>
          <w:color w:val="000000" w:themeColor="text1"/>
          <w:sz w:val="28"/>
          <w:szCs w:val="28"/>
        </w:rPr>
        <w:t>Первая банковская ячейка (Первый блок программы) - «Труд и продукт труда (товар)»;</w:t>
      </w:r>
    </w:p>
    <w:p w:rsidR="00700BCB" w:rsidRPr="00700BCB" w:rsidRDefault="00700BCB" w:rsidP="00700BCB">
      <w:pPr>
        <w:ind w:left="-15" w:right="75" w:firstLine="15"/>
        <w:rPr>
          <w:color w:val="000000" w:themeColor="text1"/>
          <w:sz w:val="28"/>
          <w:szCs w:val="28"/>
        </w:rPr>
      </w:pPr>
      <w:r w:rsidRPr="00700BCB">
        <w:rPr>
          <w:color w:val="000000" w:themeColor="text1"/>
          <w:sz w:val="28"/>
          <w:szCs w:val="28"/>
        </w:rPr>
        <w:t>Вторая - «Деньги и цена (стоимость)»;</w:t>
      </w:r>
    </w:p>
    <w:p w:rsidR="00700BCB" w:rsidRPr="00700BCB" w:rsidRDefault="00700BCB" w:rsidP="00700BCB">
      <w:pPr>
        <w:ind w:left="-15" w:right="75" w:firstLine="15"/>
        <w:rPr>
          <w:color w:val="000000" w:themeColor="text1"/>
          <w:sz w:val="28"/>
          <w:szCs w:val="28"/>
        </w:rPr>
      </w:pPr>
      <w:r w:rsidRPr="00700BCB">
        <w:rPr>
          <w:color w:val="000000" w:themeColor="text1"/>
          <w:sz w:val="28"/>
          <w:szCs w:val="28"/>
        </w:rPr>
        <w:t>Третья - «Реклама: правда и ложь, разум и чувства, желания и возможности»;</w:t>
      </w:r>
    </w:p>
    <w:p w:rsidR="00700BCB" w:rsidRPr="00700BCB" w:rsidRDefault="00700BCB" w:rsidP="00700BCB">
      <w:pPr>
        <w:ind w:left="-15" w:right="75" w:firstLine="15"/>
        <w:rPr>
          <w:color w:val="000000" w:themeColor="text1"/>
          <w:sz w:val="28"/>
          <w:szCs w:val="28"/>
        </w:rPr>
      </w:pPr>
      <w:r w:rsidRPr="00700BCB">
        <w:rPr>
          <w:color w:val="000000" w:themeColor="text1"/>
          <w:sz w:val="28"/>
          <w:szCs w:val="28"/>
        </w:rPr>
        <w:t xml:space="preserve">Четвертая - «Полезные экономические навыки и привычки в быту». </w:t>
      </w:r>
    </w:p>
    <w:p w:rsidR="00700BCB" w:rsidRPr="00700BCB" w:rsidRDefault="00700BCB" w:rsidP="00700BCB">
      <w:pPr>
        <w:ind w:left="-15" w:right="75" w:firstLine="15"/>
        <w:rPr>
          <w:color w:val="000000" w:themeColor="text1"/>
          <w:sz w:val="28"/>
          <w:szCs w:val="28"/>
        </w:rPr>
      </w:pPr>
      <w:r w:rsidRPr="00700BCB">
        <w:rPr>
          <w:color w:val="000000" w:themeColor="text1"/>
          <w:sz w:val="28"/>
          <w:szCs w:val="28"/>
        </w:rPr>
        <w:t>А также в электронной версии «</w:t>
      </w:r>
      <w:proofErr w:type="spellStart"/>
      <w:r w:rsidRPr="00700BCB">
        <w:rPr>
          <w:color w:val="000000" w:themeColor="text1"/>
          <w:sz w:val="28"/>
          <w:szCs w:val="28"/>
        </w:rPr>
        <w:t>УМКаБАНКа</w:t>
      </w:r>
      <w:proofErr w:type="spellEnd"/>
      <w:r w:rsidRPr="00700BCB">
        <w:rPr>
          <w:color w:val="000000" w:themeColor="text1"/>
          <w:sz w:val="28"/>
          <w:szCs w:val="28"/>
        </w:rPr>
        <w:t>» доступна пятая банковская ячейка -«Дополнительные материалы».</w:t>
      </w:r>
    </w:p>
    <w:p w:rsidR="00700BCB" w:rsidRPr="00700BCB" w:rsidRDefault="00700BCB" w:rsidP="00700BCB">
      <w:pPr>
        <w:ind w:left="-15" w:right="75" w:firstLine="15"/>
        <w:rPr>
          <w:color w:val="000000" w:themeColor="text1"/>
          <w:sz w:val="28"/>
          <w:szCs w:val="28"/>
        </w:rPr>
      </w:pPr>
      <w:r w:rsidRPr="00700BCB">
        <w:rPr>
          <w:color w:val="000000" w:themeColor="text1"/>
          <w:sz w:val="28"/>
          <w:szCs w:val="28"/>
        </w:rPr>
        <w:t>Каждая банковская ячейка имеет следующую структуру:</w:t>
      </w:r>
    </w:p>
    <w:p w:rsidR="00700BCB" w:rsidRPr="00700BCB" w:rsidRDefault="00700BCB" w:rsidP="00700BCB">
      <w:pPr>
        <w:ind w:left="-15" w:right="75"/>
        <w:rPr>
          <w:color w:val="000000" w:themeColor="text1"/>
          <w:sz w:val="28"/>
          <w:szCs w:val="28"/>
        </w:rPr>
      </w:pPr>
    </w:p>
    <w:p w:rsidR="00700BCB" w:rsidRPr="00700BCB" w:rsidRDefault="00700BCB" w:rsidP="00700BCB">
      <w:pPr>
        <w:shd w:val="clear" w:color="auto" w:fill="FFFFFF"/>
        <w:spacing w:after="0" w:line="240" w:lineRule="auto"/>
        <w:ind w:right="0" w:firstLine="0"/>
        <w:rPr>
          <w:color w:val="000000" w:themeColor="text1"/>
          <w:sz w:val="28"/>
          <w:szCs w:val="28"/>
        </w:rPr>
      </w:pPr>
      <w:r w:rsidRPr="00700BCB">
        <w:rPr>
          <w:color w:val="000000" w:themeColor="text1"/>
          <w:sz w:val="28"/>
          <w:szCs w:val="28"/>
        </w:rPr>
        <w:lastRenderedPageBreak/>
        <w:t xml:space="preserve">                          </w:t>
      </w:r>
      <w:r w:rsidRPr="00700BCB">
        <w:rPr>
          <w:noProof/>
          <w:color w:val="000000" w:themeColor="text1"/>
          <w:sz w:val="28"/>
          <w:szCs w:val="28"/>
        </w:rPr>
        <w:drawing>
          <wp:inline distT="0" distB="0" distL="0" distR="0" wp14:anchorId="76DF8630" wp14:editId="782BE88E">
            <wp:extent cx="3855720" cy="1676400"/>
            <wp:effectExtent l="0" t="0" r="11430" b="19050"/>
            <wp:docPr id="1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700BCB" w:rsidRPr="00700BCB" w:rsidRDefault="00700BCB" w:rsidP="00700BCB">
      <w:pPr>
        <w:ind w:left="-15" w:right="75" w:firstLine="582"/>
        <w:rPr>
          <w:color w:val="000000" w:themeColor="text1"/>
          <w:sz w:val="28"/>
          <w:szCs w:val="28"/>
        </w:rPr>
      </w:pPr>
      <w:r w:rsidRPr="00700BCB">
        <w:rPr>
          <w:color w:val="000000" w:themeColor="text1"/>
          <w:sz w:val="28"/>
          <w:szCs w:val="28"/>
        </w:rPr>
        <w:t>В разделе банковской ячейки – «Видеосюжет» предлагаются анимированный ролик и примерные вопросы, на основе которых каждому педагогу предоставляется возможность дополнить их, основываясь на реакцию и ответы детей, а также на поставленную педагогом задачу.</w:t>
      </w:r>
    </w:p>
    <w:p w:rsidR="00700BCB" w:rsidRPr="00700BCB" w:rsidRDefault="00700BCB" w:rsidP="00700BCB">
      <w:pPr>
        <w:ind w:left="-15" w:right="75"/>
        <w:rPr>
          <w:color w:val="000000" w:themeColor="text1"/>
          <w:sz w:val="28"/>
          <w:szCs w:val="28"/>
        </w:rPr>
      </w:pPr>
      <w:r w:rsidRPr="00700BCB">
        <w:rPr>
          <w:color w:val="000000" w:themeColor="text1"/>
          <w:sz w:val="28"/>
          <w:szCs w:val="28"/>
        </w:rPr>
        <w:t>В разделе</w:t>
      </w:r>
      <w:r w:rsidRPr="00700BCB">
        <w:rPr>
          <w:color w:val="000000" w:themeColor="text1"/>
        </w:rPr>
        <w:t xml:space="preserve"> </w:t>
      </w:r>
      <w:r w:rsidRPr="00700BCB">
        <w:rPr>
          <w:color w:val="000000" w:themeColor="text1"/>
          <w:sz w:val="28"/>
          <w:szCs w:val="28"/>
        </w:rPr>
        <w:t>банковской ячейки «Дидактическая игра» - предложен материал для сборки дидактической игры по всем темам. Необходимо только вырезать и склеить.</w:t>
      </w:r>
    </w:p>
    <w:p w:rsidR="00700BCB" w:rsidRPr="00700BCB" w:rsidRDefault="00700BCB" w:rsidP="00700BCB">
      <w:pPr>
        <w:ind w:left="-15" w:right="75"/>
        <w:rPr>
          <w:color w:val="000000" w:themeColor="text1"/>
          <w:sz w:val="28"/>
          <w:szCs w:val="28"/>
        </w:rPr>
      </w:pPr>
      <w:r w:rsidRPr="00700BCB">
        <w:rPr>
          <w:color w:val="000000" w:themeColor="text1"/>
          <w:sz w:val="28"/>
          <w:szCs w:val="28"/>
        </w:rPr>
        <w:t>Банковская ячейка «Рабочий лист» представляет собой индивидуальные рабочие листы для распечатки и предоставлению каждому ребенку.</w:t>
      </w:r>
    </w:p>
    <w:p w:rsidR="00700BCB" w:rsidRPr="00700BCB" w:rsidRDefault="00700BCB" w:rsidP="00700BCB">
      <w:pPr>
        <w:ind w:left="-15" w:right="75"/>
        <w:rPr>
          <w:color w:val="000000" w:themeColor="text1"/>
          <w:sz w:val="28"/>
          <w:szCs w:val="28"/>
        </w:rPr>
      </w:pPr>
      <w:r w:rsidRPr="00700BCB">
        <w:rPr>
          <w:color w:val="000000" w:themeColor="text1"/>
          <w:sz w:val="28"/>
          <w:szCs w:val="28"/>
        </w:rPr>
        <w:t>В разделе</w:t>
      </w:r>
      <w:r w:rsidRPr="00700BCB">
        <w:rPr>
          <w:color w:val="000000" w:themeColor="text1"/>
        </w:rPr>
        <w:t xml:space="preserve"> </w:t>
      </w:r>
      <w:r w:rsidRPr="00700BCB">
        <w:rPr>
          <w:color w:val="000000" w:themeColor="text1"/>
          <w:sz w:val="28"/>
          <w:szCs w:val="28"/>
        </w:rPr>
        <w:t>банковской ячейки «Электронная игра» предложена дидактическая игра на платформе learningapps.org, соответствующая теме ячейки.</w:t>
      </w:r>
    </w:p>
    <w:p w:rsidR="00700BCB" w:rsidRPr="00700BCB" w:rsidRDefault="00700BCB" w:rsidP="00700BCB">
      <w:pPr>
        <w:ind w:left="-15" w:right="75"/>
        <w:rPr>
          <w:color w:val="000000" w:themeColor="text1"/>
          <w:sz w:val="28"/>
          <w:szCs w:val="28"/>
        </w:rPr>
      </w:pPr>
      <w:r w:rsidRPr="00700BCB">
        <w:rPr>
          <w:color w:val="000000" w:themeColor="text1"/>
          <w:sz w:val="28"/>
          <w:szCs w:val="28"/>
        </w:rPr>
        <w:t xml:space="preserve">Игровые технологии, применяемые в УМК, дают возможность включиться воспитанникам в практическую деятельность, в условиях ситуаций, направленных на обогащение и амплификацию знаний, навыков и установок в сфере финансового поведения человека, ведущих к улучшению благосостояния и повышению качества жизни. </w:t>
      </w:r>
    </w:p>
    <w:p w:rsidR="00F05E66" w:rsidRPr="00700BCB" w:rsidRDefault="00F05E66">
      <w:pPr>
        <w:rPr>
          <w:color w:val="000000" w:themeColor="text1"/>
        </w:rPr>
      </w:pPr>
    </w:p>
    <w:p w:rsidR="00700BCB" w:rsidRPr="00700BCB" w:rsidRDefault="00700BCB">
      <w:pPr>
        <w:rPr>
          <w:color w:val="000000" w:themeColor="text1"/>
        </w:rPr>
      </w:pPr>
    </w:p>
    <w:sectPr w:rsidR="00700BCB" w:rsidRPr="00700BCB" w:rsidSect="00700B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CB"/>
    <w:rsid w:val="00700BCB"/>
    <w:rsid w:val="00F0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BEED"/>
  <w15:chartTrackingRefBased/>
  <w15:docId w15:val="{3548C9C0-4ABE-4A73-9BCB-D393CF2D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BCB"/>
    <w:pPr>
      <w:spacing w:after="10" w:line="270" w:lineRule="auto"/>
      <w:ind w:right="84" w:firstLine="70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0AF5D2-3542-4874-88FD-42B93B16C2DF}" type="doc">
      <dgm:prSet loTypeId="urn:microsoft.com/office/officeart/2005/8/layout/matrix1" loCatId="matrix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D62BB83D-DF87-4C6A-9439-A9472FBD72F7}">
      <dgm:prSet phldrT="[Текст]"/>
      <dgm:spPr>
        <a:xfrm>
          <a:off x="1349501" y="628650"/>
          <a:ext cx="1156716" cy="419100"/>
        </a:xfrm>
        <a:prstGeom prst="roundRect">
          <a:avLst/>
        </a:prstGeom>
        <a:solidFill>
          <a:srgbClr val="FFC000"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 банковской ячейки </a:t>
          </a:r>
        </a:p>
      </dgm:t>
    </dgm:pt>
    <dgm:pt modelId="{5B192CA6-ABA1-4762-993A-82E414F94109}" type="parTrans" cxnId="{FE8CB298-83A0-4368-A8EC-9FBD92D78A03}">
      <dgm:prSet/>
      <dgm:spPr/>
      <dgm:t>
        <a:bodyPr/>
        <a:lstStyle/>
        <a:p>
          <a:pPr algn="ctr"/>
          <a:endParaRPr lang="ru-RU"/>
        </a:p>
      </dgm:t>
    </dgm:pt>
    <dgm:pt modelId="{F79AE1C5-3E0A-4F7C-9200-05BC350394D4}" type="sibTrans" cxnId="{FE8CB298-83A0-4368-A8EC-9FBD92D78A03}">
      <dgm:prSet/>
      <dgm:spPr/>
      <dgm:t>
        <a:bodyPr/>
        <a:lstStyle/>
        <a:p>
          <a:pPr algn="ctr"/>
          <a:endParaRPr lang="ru-RU"/>
        </a:p>
      </dgm:t>
    </dgm:pt>
    <dgm:pt modelId="{BAF86BC1-EA27-4EAA-B090-C4F7CD631404}">
      <dgm:prSet phldrT="[Текст]"/>
      <dgm:spPr>
        <a:xfrm rot="16200000">
          <a:off x="544830" y="-544830"/>
          <a:ext cx="838200" cy="1927860"/>
        </a:xfrm>
        <a:prstGeom prst="round1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Видеосюжет</a:t>
          </a:r>
        </a:p>
      </dgm:t>
    </dgm:pt>
    <dgm:pt modelId="{F32B21E2-85D9-4C81-B19C-D71C9D86DDA5}" type="parTrans" cxnId="{53DF3D8C-BE6E-46E8-BEE0-7F9426F5DA92}">
      <dgm:prSet/>
      <dgm:spPr/>
      <dgm:t>
        <a:bodyPr/>
        <a:lstStyle/>
        <a:p>
          <a:pPr algn="ctr"/>
          <a:endParaRPr lang="ru-RU"/>
        </a:p>
      </dgm:t>
    </dgm:pt>
    <dgm:pt modelId="{4FF17FA3-351A-4C54-AC1D-F23C85E662C5}" type="sibTrans" cxnId="{53DF3D8C-BE6E-46E8-BEE0-7F9426F5DA92}">
      <dgm:prSet/>
      <dgm:spPr/>
      <dgm:t>
        <a:bodyPr/>
        <a:lstStyle/>
        <a:p>
          <a:pPr algn="ctr"/>
          <a:endParaRPr lang="ru-RU"/>
        </a:p>
      </dgm:t>
    </dgm:pt>
    <dgm:pt modelId="{F38E80B1-ECC8-4822-906C-379CE7047735}">
      <dgm:prSet phldrT="[Текст]"/>
      <dgm:spPr>
        <a:xfrm>
          <a:off x="1927860" y="0"/>
          <a:ext cx="1927860" cy="838200"/>
        </a:xfrm>
        <a:prstGeom prst="round1Rect">
          <a:avLst/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Дидактическая игра</a:t>
          </a:r>
        </a:p>
      </dgm:t>
    </dgm:pt>
    <dgm:pt modelId="{A1170320-AF2C-4FA9-897C-2B85FC95FA7B}" type="parTrans" cxnId="{BF6BB5D1-7E76-4641-8406-47AB0620E987}">
      <dgm:prSet/>
      <dgm:spPr/>
      <dgm:t>
        <a:bodyPr/>
        <a:lstStyle/>
        <a:p>
          <a:pPr algn="ctr"/>
          <a:endParaRPr lang="ru-RU"/>
        </a:p>
      </dgm:t>
    </dgm:pt>
    <dgm:pt modelId="{030EBEA8-C3AF-4CB9-881B-D0D9476FE987}" type="sibTrans" cxnId="{BF6BB5D1-7E76-4641-8406-47AB0620E987}">
      <dgm:prSet/>
      <dgm:spPr/>
      <dgm:t>
        <a:bodyPr/>
        <a:lstStyle/>
        <a:p>
          <a:pPr algn="ctr"/>
          <a:endParaRPr lang="ru-RU"/>
        </a:p>
      </dgm:t>
    </dgm:pt>
    <dgm:pt modelId="{4EB12190-3CAE-4933-8CB8-98347B64A92D}">
      <dgm:prSet phldrT="[Текст]"/>
      <dgm:spPr>
        <a:xfrm rot="10800000">
          <a:off x="0" y="838200"/>
          <a:ext cx="1927860" cy="838200"/>
        </a:xfrm>
        <a:prstGeom prst="round1Rect">
          <a:avLst/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Рабочий лист</a:t>
          </a:r>
        </a:p>
      </dgm:t>
    </dgm:pt>
    <dgm:pt modelId="{B0326046-6DA6-4456-9C03-EF0664F8A867}" type="parTrans" cxnId="{2979233E-1334-4A02-9DEF-6AAB8527CBBF}">
      <dgm:prSet/>
      <dgm:spPr/>
      <dgm:t>
        <a:bodyPr/>
        <a:lstStyle/>
        <a:p>
          <a:pPr algn="ctr"/>
          <a:endParaRPr lang="ru-RU"/>
        </a:p>
      </dgm:t>
    </dgm:pt>
    <dgm:pt modelId="{81E00D45-1588-450D-8FE8-3B948CE6F694}" type="sibTrans" cxnId="{2979233E-1334-4A02-9DEF-6AAB8527CBBF}">
      <dgm:prSet/>
      <dgm:spPr/>
      <dgm:t>
        <a:bodyPr/>
        <a:lstStyle/>
        <a:p>
          <a:pPr algn="ctr"/>
          <a:endParaRPr lang="ru-RU"/>
        </a:p>
      </dgm:t>
    </dgm:pt>
    <dgm:pt modelId="{CE38EF17-1D53-4574-A4AF-04ACE64C251A}">
      <dgm:prSet phldrT="[Текст]"/>
      <dgm:spPr>
        <a:xfrm rot="5400000">
          <a:off x="2472690" y="293370"/>
          <a:ext cx="838200" cy="1927860"/>
        </a:xfrm>
        <a:prstGeom prst="round1Rect">
          <a:avLst/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Электронная игра</a:t>
          </a:r>
        </a:p>
      </dgm:t>
    </dgm:pt>
    <dgm:pt modelId="{2F726989-E3CF-4985-A420-7D7FEDA35DC6}" type="parTrans" cxnId="{166E6042-58E9-4B91-A383-53CB4E3CEA84}">
      <dgm:prSet/>
      <dgm:spPr/>
      <dgm:t>
        <a:bodyPr/>
        <a:lstStyle/>
        <a:p>
          <a:pPr algn="ctr"/>
          <a:endParaRPr lang="ru-RU"/>
        </a:p>
      </dgm:t>
    </dgm:pt>
    <dgm:pt modelId="{85E410CB-442D-41D6-8843-9E814EED0E75}" type="sibTrans" cxnId="{166E6042-58E9-4B91-A383-53CB4E3CEA84}">
      <dgm:prSet/>
      <dgm:spPr/>
      <dgm:t>
        <a:bodyPr/>
        <a:lstStyle/>
        <a:p>
          <a:pPr algn="ctr"/>
          <a:endParaRPr lang="ru-RU"/>
        </a:p>
      </dgm:t>
    </dgm:pt>
    <dgm:pt modelId="{C025EDC0-0F7F-4F36-B192-A6FBC0C6607B}" type="pres">
      <dgm:prSet presAssocID="{810AF5D2-3542-4874-88FD-42B93B16C2DF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7A0ABD8-D885-46ED-AC14-45FDEEDC72C9}" type="pres">
      <dgm:prSet presAssocID="{810AF5D2-3542-4874-88FD-42B93B16C2DF}" presName="matrix" presStyleCnt="0"/>
      <dgm:spPr/>
    </dgm:pt>
    <dgm:pt modelId="{1B2A0228-6C79-4BEA-B959-C08F37D71F56}" type="pres">
      <dgm:prSet presAssocID="{810AF5D2-3542-4874-88FD-42B93B16C2DF}" presName="tile1" presStyleLbl="node1" presStyleIdx="0" presStyleCnt="4"/>
      <dgm:spPr/>
      <dgm:t>
        <a:bodyPr/>
        <a:lstStyle/>
        <a:p>
          <a:endParaRPr lang="ru-RU"/>
        </a:p>
      </dgm:t>
    </dgm:pt>
    <dgm:pt modelId="{CED0AB34-0C00-4A61-A37C-C222C5B2FA90}" type="pres">
      <dgm:prSet presAssocID="{810AF5D2-3542-4874-88FD-42B93B16C2DF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41802BC-94F9-40B9-8D1B-444BAD781B12}" type="pres">
      <dgm:prSet presAssocID="{810AF5D2-3542-4874-88FD-42B93B16C2DF}" presName="tile2" presStyleLbl="node1" presStyleIdx="1" presStyleCnt="4"/>
      <dgm:spPr/>
      <dgm:t>
        <a:bodyPr/>
        <a:lstStyle/>
        <a:p>
          <a:endParaRPr lang="ru-RU"/>
        </a:p>
      </dgm:t>
    </dgm:pt>
    <dgm:pt modelId="{FA598264-B44F-43C9-A170-7F2F3FDD4945}" type="pres">
      <dgm:prSet presAssocID="{810AF5D2-3542-4874-88FD-42B93B16C2DF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DB833F-9B78-438D-9F5E-AF15B1D646E6}" type="pres">
      <dgm:prSet presAssocID="{810AF5D2-3542-4874-88FD-42B93B16C2DF}" presName="tile3" presStyleLbl="node1" presStyleIdx="2" presStyleCnt="4"/>
      <dgm:spPr/>
      <dgm:t>
        <a:bodyPr/>
        <a:lstStyle/>
        <a:p>
          <a:endParaRPr lang="ru-RU"/>
        </a:p>
      </dgm:t>
    </dgm:pt>
    <dgm:pt modelId="{FA3D8258-8639-41E0-9031-1923E2485BBD}" type="pres">
      <dgm:prSet presAssocID="{810AF5D2-3542-4874-88FD-42B93B16C2DF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2CED22A-B80F-4CB1-B5B4-DBBC3141080F}" type="pres">
      <dgm:prSet presAssocID="{810AF5D2-3542-4874-88FD-42B93B16C2DF}" presName="tile4" presStyleLbl="node1" presStyleIdx="3" presStyleCnt="4"/>
      <dgm:spPr/>
      <dgm:t>
        <a:bodyPr/>
        <a:lstStyle/>
        <a:p>
          <a:endParaRPr lang="ru-RU"/>
        </a:p>
      </dgm:t>
    </dgm:pt>
    <dgm:pt modelId="{34811EB1-8904-4A9C-B005-CC64B3E4DE9F}" type="pres">
      <dgm:prSet presAssocID="{810AF5D2-3542-4874-88FD-42B93B16C2DF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48BEAF3-B245-4266-95D4-BF83301A79D0}" type="pres">
      <dgm:prSet presAssocID="{810AF5D2-3542-4874-88FD-42B93B16C2DF}" presName="centerTile" presStyleLbl="fgShp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</dgm:ptLst>
  <dgm:cxnLst>
    <dgm:cxn modelId="{FE8CB298-83A0-4368-A8EC-9FBD92D78A03}" srcId="{810AF5D2-3542-4874-88FD-42B93B16C2DF}" destId="{D62BB83D-DF87-4C6A-9439-A9472FBD72F7}" srcOrd="0" destOrd="0" parTransId="{5B192CA6-ABA1-4762-993A-82E414F94109}" sibTransId="{F79AE1C5-3E0A-4F7C-9200-05BC350394D4}"/>
    <dgm:cxn modelId="{475A5D65-417E-48DA-BD6C-F65905D07204}" type="presOf" srcId="{4EB12190-3CAE-4933-8CB8-98347B64A92D}" destId="{FA3D8258-8639-41E0-9031-1923E2485BBD}" srcOrd="1" destOrd="0" presId="urn:microsoft.com/office/officeart/2005/8/layout/matrix1"/>
    <dgm:cxn modelId="{AD1A407E-693A-407D-B4F0-EDC2ACBC38D1}" type="presOf" srcId="{BAF86BC1-EA27-4EAA-B090-C4F7CD631404}" destId="{1B2A0228-6C79-4BEA-B959-C08F37D71F56}" srcOrd="0" destOrd="0" presId="urn:microsoft.com/office/officeart/2005/8/layout/matrix1"/>
    <dgm:cxn modelId="{166E6042-58E9-4B91-A383-53CB4E3CEA84}" srcId="{D62BB83D-DF87-4C6A-9439-A9472FBD72F7}" destId="{CE38EF17-1D53-4574-A4AF-04ACE64C251A}" srcOrd="3" destOrd="0" parTransId="{2F726989-E3CF-4985-A420-7D7FEDA35DC6}" sibTransId="{85E410CB-442D-41D6-8843-9E814EED0E75}"/>
    <dgm:cxn modelId="{AB9F0D50-F6FB-48C4-88EF-C50D5DE16991}" type="presOf" srcId="{CE38EF17-1D53-4574-A4AF-04ACE64C251A}" destId="{34811EB1-8904-4A9C-B005-CC64B3E4DE9F}" srcOrd="1" destOrd="0" presId="urn:microsoft.com/office/officeart/2005/8/layout/matrix1"/>
    <dgm:cxn modelId="{6419E2AF-5700-4543-B3AA-2C5F7E3B3B8B}" type="presOf" srcId="{F38E80B1-ECC8-4822-906C-379CE7047735}" destId="{841802BC-94F9-40B9-8D1B-444BAD781B12}" srcOrd="0" destOrd="0" presId="urn:microsoft.com/office/officeart/2005/8/layout/matrix1"/>
    <dgm:cxn modelId="{917A47E2-4470-4BCC-B870-101F33B94C06}" type="presOf" srcId="{810AF5D2-3542-4874-88FD-42B93B16C2DF}" destId="{C025EDC0-0F7F-4F36-B192-A6FBC0C6607B}" srcOrd="0" destOrd="0" presId="urn:microsoft.com/office/officeart/2005/8/layout/matrix1"/>
    <dgm:cxn modelId="{2979233E-1334-4A02-9DEF-6AAB8527CBBF}" srcId="{D62BB83D-DF87-4C6A-9439-A9472FBD72F7}" destId="{4EB12190-3CAE-4933-8CB8-98347B64A92D}" srcOrd="2" destOrd="0" parTransId="{B0326046-6DA6-4456-9C03-EF0664F8A867}" sibTransId="{81E00D45-1588-450D-8FE8-3B948CE6F694}"/>
    <dgm:cxn modelId="{16E494B6-43B8-459D-8DED-800FE30BA0F5}" type="presOf" srcId="{CE38EF17-1D53-4574-A4AF-04ACE64C251A}" destId="{22CED22A-B80F-4CB1-B5B4-DBBC3141080F}" srcOrd="0" destOrd="0" presId="urn:microsoft.com/office/officeart/2005/8/layout/matrix1"/>
    <dgm:cxn modelId="{53DF3D8C-BE6E-46E8-BEE0-7F9426F5DA92}" srcId="{D62BB83D-DF87-4C6A-9439-A9472FBD72F7}" destId="{BAF86BC1-EA27-4EAA-B090-C4F7CD631404}" srcOrd="0" destOrd="0" parTransId="{F32B21E2-85D9-4C81-B19C-D71C9D86DDA5}" sibTransId="{4FF17FA3-351A-4C54-AC1D-F23C85E662C5}"/>
    <dgm:cxn modelId="{DF7A8A8E-F811-4DE2-9833-94A32343DAD6}" type="presOf" srcId="{4EB12190-3CAE-4933-8CB8-98347B64A92D}" destId="{B5DB833F-9B78-438D-9F5E-AF15B1D646E6}" srcOrd="0" destOrd="0" presId="urn:microsoft.com/office/officeart/2005/8/layout/matrix1"/>
    <dgm:cxn modelId="{1A0B240D-D8FD-49D5-A785-705E5AB89F4B}" type="presOf" srcId="{D62BB83D-DF87-4C6A-9439-A9472FBD72F7}" destId="{348BEAF3-B245-4266-95D4-BF83301A79D0}" srcOrd="0" destOrd="0" presId="urn:microsoft.com/office/officeart/2005/8/layout/matrix1"/>
    <dgm:cxn modelId="{2463C99E-6D5E-4E7A-9223-E6B62ADA2EB3}" type="presOf" srcId="{F38E80B1-ECC8-4822-906C-379CE7047735}" destId="{FA598264-B44F-43C9-A170-7F2F3FDD4945}" srcOrd="1" destOrd="0" presId="urn:microsoft.com/office/officeart/2005/8/layout/matrix1"/>
    <dgm:cxn modelId="{BF6BB5D1-7E76-4641-8406-47AB0620E987}" srcId="{D62BB83D-DF87-4C6A-9439-A9472FBD72F7}" destId="{F38E80B1-ECC8-4822-906C-379CE7047735}" srcOrd="1" destOrd="0" parTransId="{A1170320-AF2C-4FA9-897C-2B85FC95FA7B}" sibTransId="{030EBEA8-C3AF-4CB9-881B-D0D9476FE987}"/>
    <dgm:cxn modelId="{0FC700E2-DE09-4AEF-9007-84F5F959560C}" type="presOf" srcId="{BAF86BC1-EA27-4EAA-B090-C4F7CD631404}" destId="{CED0AB34-0C00-4A61-A37C-C222C5B2FA90}" srcOrd="1" destOrd="0" presId="urn:microsoft.com/office/officeart/2005/8/layout/matrix1"/>
    <dgm:cxn modelId="{AA215F2A-BC45-4C09-8E60-354A3E187C36}" type="presParOf" srcId="{C025EDC0-0F7F-4F36-B192-A6FBC0C6607B}" destId="{D7A0ABD8-D885-46ED-AC14-45FDEEDC72C9}" srcOrd="0" destOrd="0" presId="urn:microsoft.com/office/officeart/2005/8/layout/matrix1"/>
    <dgm:cxn modelId="{F77809C6-8A1A-413D-9223-17408EEC567F}" type="presParOf" srcId="{D7A0ABD8-D885-46ED-AC14-45FDEEDC72C9}" destId="{1B2A0228-6C79-4BEA-B959-C08F37D71F56}" srcOrd="0" destOrd="0" presId="urn:microsoft.com/office/officeart/2005/8/layout/matrix1"/>
    <dgm:cxn modelId="{FC62E61C-5DB9-4D46-AEF7-D74836586A03}" type="presParOf" srcId="{D7A0ABD8-D885-46ED-AC14-45FDEEDC72C9}" destId="{CED0AB34-0C00-4A61-A37C-C222C5B2FA90}" srcOrd="1" destOrd="0" presId="urn:microsoft.com/office/officeart/2005/8/layout/matrix1"/>
    <dgm:cxn modelId="{867A2FE1-7DE7-465C-8D84-1478BD5D8391}" type="presParOf" srcId="{D7A0ABD8-D885-46ED-AC14-45FDEEDC72C9}" destId="{841802BC-94F9-40B9-8D1B-444BAD781B12}" srcOrd="2" destOrd="0" presId="urn:microsoft.com/office/officeart/2005/8/layout/matrix1"/>
    <dgm:cxn modelId="{E1B09E2C-E6D0-43E6-B75E-55C8298E9D06}" type="presParOf" srcId="{D7A0ABD8-D885-46ED-AC14-45FDEEDC72C9}" destId="{FA598264-B44F-43C9-A170-7F2F3FDD4945}" srcOrd="3" destOrd="0" presId="urn:microsoft.com/office/officeart/2005/8/layout/matrix1"/>
    <dgm:cxn modelId="{F1034D82-75C6-4499-9DBE-A0C29A522650}" type="presParOf" srcId="{D7A0ABD8-D885-46ED-AC14-45FDEEDC72C9}" destId="{B5DB833F-9B78-438D-9F5E-AF15B1D646E6}" srcOrd="4" destOrd="0" presId="urn:microsoft.com/office/officeart/2005/8/layout/matrix1"/>
    <dgm:cxn modelId="{2517DB11-9C00-48A9-BE48-75FDEEFF61AE}" type="presParOf" srcId="{D7A0ABD8-D885-46ED-AC14-45FDEEDC72C9}" destId="{FA3D8258-8639-41E0-9031-1923E2485BBD}" srcOrd="5" destOrd="0" presId="urn:microsoft.com/office/officeart/2005/8/layout/matrix1"/>
    <dgm:cxn modelId="{2612AC10-F844-486E-B7CD-255442141274}" type="presParOf" srcId="{D7A0ABD8-D885-46ED-AC14-45FDEEDC72C9}" destId="{22CED22A-B80F-4CB1-B5B4-DBBC3141080F}" srcOrd="6" destOrd="0" presId="urn:microsoft.com/office/officeart/2005/8/layout/matrix1"/>
    <dgm:cxn modelId="{48C5D948-DC5C-4860-8420-D7F84D8B48C0}" type="presParOf" srcId="{D7A0ABD8-D885-46ED-AC14-45FDEEDC72C9}" destId="{34811EB1-8904-4A9C-B005-CC64B3E4DE9F}" srcOrd="7" destOrd="0" presId="urn:microsoft.com/office/officeart/2005/8/layout/matrix1"/>
    <dgm:cxn modelId="{F683A1BF-68D4-4B56-B996-AA965F0CA1C0}" type="presParOf" srcId="{C025EDC0-0F7F-4F36-B192-A6FBC0C6607B}" destId="{348BEAF3-B245-4266-95D4-BF83301A79D0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2A0228-6C79-4BEA-B959-C08F37D71F56}">
      <dsp:nvSpPr>
        <dsp:cNvPr id="0" name=""/>
        <dsp:cNvSpPr/>
      </dsp:nvSpPr>
      <dsp:spPr>
        <a:xfrm rot="16200000">
          <a:off x="544830" y="-544830"/>
          <a:ext cx="838200" cy="1927860"/>
        </a:xfrm>
        <a:prstGeom prst="round1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Видеосюжет</a:t>
          </a:r>
        </a:p>
      </dsp:txBody>
      <dsp:txXfrm rot="5400000">
        <a:off x="0" y="30688"/>
        <a:ext cx="1927860" cy="597962"/>
      </dsp:txXfrm>
    </dsp:sp>
    <dsp:sp modelId="{841802BC-94F9-40B9-8D1B-444BAD781B12}">
      <dsp:nvSpPr>
        <dsp:cNvPr id="0" name=""/>
        <dsp:cNvSpPr/>
      </dsp:nvSpPr>
      <dsp:spPr>
        <a:xfrm>
          <a:off x="1927860" y="0"/>
          <a:ext cx="1927860" cy="838200"/>
        </a:xfrm>
        <a:prstGeom prst="round1Rect">
          <a:avLst/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Дидактическая игра</a:t>
          </a:r>
        </a:p>
      </dsp:txBody>
      <dsp:txXfrm>
        <a:off x="1927860" y="0"/>
        <a:ext cx="1897172" cy="628650"/>
      </dsp:txXfrm>
    </dsp:sp>
    <dsp:sp modelId="{B5DB833F-9B78-438D-9F5E-AF15B1D646E6}">
      <dsp:nvSpPr>
        <dsp:cNvPr id="0" name=""/>
        <dsp:cNvSpPr/>
      </dsp:nvSpPr>
      <dsp:spPr>
        <a:xfrm rot="10800000">
          <a:off x="0" y="838200"/>
          <a:ext cx="1927860" cy="838200"/>
        </a:xfrm>
        <a:prstGeom prst="round1Rect">
          <a:avLst/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Рабочий лист</a:t>
          </a:r>
        </a:p>
      </dsp:txBody>
      <dsp:txXfrm rot="10800000">
        <a:off x="30688" y="1047750"/>
        <a:ext cx="1897172" cy="628650"/>
      </dsp:txXfrm>
    </dsp:sp>
    <dsp:sp modelId="{22CED22A-B80F-4CB1-B5B4-DBBC3141080F}">
      <dsp:nvSpPr>
        <dsp:cNvPr id="0" name=""/>
        <dsp:cNvSpPr/>
      </dsp:nvSpPr>
      <dsp:spPr>
        <a:xfrm rot="5400000">
          <a:off x="2472690" y="293370"/>
          <a:ext cx="838200" cy="1927860"/>
        </a:xfrm>
        <a:prstGeom prst="round1Rect">
          <a:avLst/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Электронная игра</a:t>
          </a:r>
        </a:p>
      </dsp:txBody>
      <dsp:txXfrm rot="-5400000">
        <a:off x="1927860" y="1047749"/>
        <a:ext cx="1927860" cy="597962"/>
      </dsp:txXfrm>
    </dsp:sp>
    <dsp:sp modelId="{348BEAF3-B245-4266-95D4-BF83301A79D0}">
      <dsp:nvSpPr>
        <dsp:cNvPr id="0" name=""/>
        <dsp:cNvSpPr/>
      </dsp:nvSpPr>
      <dsp:spPr>
        <a:xfrm>
          <a:off x="1349501" y="628650"/>
          <a:ext cx="1156716" cy="419100"/>
        </a:xfrm>
        <a:prstGeom prst="roundRect">
          <a:avLst/>
        </a:prstGeom>
        <a:solidFill>
          <a:srgbClr val="FFC000"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 банковской ячейки </a:t>
          </a:r>
        </a:p>
      </dsp:txBody>
      <dsp:txXfrm>
        <a:off x="1369960" y="649109"/>
        <a:ext cx="1115798" cy="3781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2025-09-26T06:24:00Z</dcterms:created>
  <dcterms:modified xsi:type="dcterms:W3CDTF">2025-09-26T06:28:00Z</dcterms:modified>
</cp:coreProperties>
</file>